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23" w:rsidRPr="00247723" w:rsidRDefault="00247723" w:rsidP="00247723">
      <w:pPr>
        <w:widowControl/>
        <w:shd w:val="clear" w:color="auto" w:fill="FFFFFF"/>
        <w:spacing w:line="608" w:lineRule="atLeast"/>
        <w:jc w:val="center"/>
        <w:textAlignment w:val="baseline"/>
        <w:rPr>
          <w:rFonts w:ascii="微软雅黑" w:eastAsia="微软雅黑" w:hAnsi="微软雅黑" w:cs="宋体"/>
          <w:color w:val="2184D3"/>
          <w:kern w:val="0"/>
          <w:sz w:val="22"/>
        </w:rPr>
      </w:pPr>
      <w:r w:rsidRPr="00247723">
        <w:rPr>
          <w:rFonts w:ascii="微软雅黑" w:eastAsia="微软雅黑" w:hAnsi="微软雅黑" w:cs="宋体" w:hint="eastAsia"/>
          <w:color w:val="2184D3"/>
          <w:kern w:val="0"/>
          <w:sz w:val="22"/>
        </w:rPr>
        <w:t>山东理工大学实验室安全管理办法</w:t>
      </w:r>
    </w:p>
    <w:p w:rsidR="00247723" w:rsidRPr="00247723" w:rsidRDefault="00247723" w:rsidP="00247723">
      <w:pPr>
        <w:widowControl/>
        <w:shd w:val="clear" w:color="auto" w:fill="FFFFFF"/>
        <w:spacing w:line="122" w:lineRule="atLeast"/>
        <w:jc w:val="center"/>
        <w:textAlignment w:val="baseline"/>
        <w:rPr>
          <w:rFonts w:ascii="Tahoma" w:eastAsia="宋体" w:hAnsi="Tahoma" w:cs="Tahoma"/>
          <w:color w:val="333333"/>
          <w:kern w:val="0"/>
          <w:sz w:val="12"/>
          <w:szCs w:val="12"/>
        </w:rPr>
      </w:pPr>
      <w:r w:rsidRPr="00247723">
        <w:rPr>
          <w:rFonts w:ascii="Tahoma" w:eastAsia="宋体" w:hAnsi="Tahoma" w:cs="Tahoma"/>
          <w:color w:val="787878"/>
          <w:kern w:val="0"/>
          <w:sz w:val="12"/>
        </w:rPr>
        <w:t>发布者：宋亦刚发布时间：</w:t>
      </w:r>
      <w:r w:rsidRPr="00247723">
        <w:rPr>
          <w:rFonts w:ascii="Tahoma" w:eastAsia="宋体" w:hAnsi="Tahoma" w:cs="Tahoma"/>
          <w:color w:val="787878"/>
          <w:kern w:val="0"/>
          <w:sz w:val="12"/>
        </w:rPr>
        <w:t>2017-10-25</w:t>
      </w:r>
      <w:r w:rsidRPr="00247723">
        <w:rPr>
          <w:rFonts w:ascii="Tahoma" w:eastAsia="宋体" w:hAnsi="Tahoma" w:cs="Tahoma"/>
          <w:color w:val="787878"/>
          <w:kern w:val="0"/>
          <w:sz w:val="12"/>
        </w:rPr>
        <w:t>浏览次数：</w:t>
      </w:r>
      <w:r w:rsidRPr="00247723">
        <w:rPr>
          <w:rFonts w:ascii="Tahoma" w:eastAsia="宋体" w:hAnsi="Tahoma" w:cs="Tahoma"/>
          <w:color w:val="787878"/>
          <w:kern w:val="0"/>
          <w:sz w:val="12"/>
        </w:rPr>
        <w:t>13</w:t>
      </w:r>
    </w:p>
    <w:p w:rsidR="00247723" w:rsidRPr="00247723" w:rsidRDefault="00247723" w:rsidP="00247723">
      <w:pPr>
        <w:widowControl/>
        <w:shd w:val="clear" w:color="auto" w:fill="FFFFFF"/>
        <w:jc w:val="center"/>
        <w:textAlignment w:val="baseline"/>
        <w:outlineLvl w:val="0"/>
        <w:rPr>
          <w:rFonts w:ascii="Tahoma" w:eastAsia="宋体" w:hAnsi="Tahoma" w:cs="Tahoma"/>
          <w:b/>
          <w:bCs/>
          <w:color w:val="333333"/>
          <w:kern w:val="36"/>
          <w:sz w:val="14"/>
          <w:szCs w:val="14"/>
        </w:rPr>
      </w:pPr>
      <w:r w:rsidRPr="00247723">
        <w:rPr>
          <w:rFonts w:ascii="仿宋" w:eastAsia="仿宋" w:hAnsi="Tahoma" w:cs="Tahoma" w:hint="eastAsia"/>
          <w:b/>
          <w:bCs/>
          <w:color w:val="333333"/>
          <w:kern w:val="36"/>
          <w:sz w:val="24"/>
        </w:rPr>
        <w:t>山东理工大学实验室安全管理办法</w:t>
      </w:r>
    </w:p>
    <w:p w:rsidR="00247723" w:rsidRPr="00247723" w:rsidRDefault="00247723" w:rsidP="00247723">
      <w:pPr>
        <w:widowControl/>
        <w:shd w:val="clear" w:color="auto" w:fill="FFFFFF"/>
        <w:jc w:val="center"/>
        <w:textAlignment w:val="baseline"/>
        <w:rPr>
          <w:rFonts w:ascii="Tahoma" w:eastAsia="宋体" w:hAnsi="Tahoma" w:cs="Tahoma"/>
          <w:color w:val="333333"/>
          <w:kern w:val="0"/>
          <w:sz w:val="14"/>
          <w:szCs w:val="14"/>
        </w:rPr>
      </w:pPr>
      <w:r w:rsidRPr="00247723">
        <w:rPr>
          <w:rFonts w:ascii="仿宋" w:eastAsia="仿宋" w:hAnsi="Tahoma" w:cs="Tahoma" w:hint="eastAsia"/>
          <w:b/>
          <w:bCs/>
          <w:color w:val="333333"/>
          <w:kern w:val="0"/>
          <w:sz w:val="19"/>
        </w:rPr>
        <w:t>鲁理工大政发〔2017〕163号</w:t>
      </w:r>
    </w:p>
    <w:p w:rsidR="00247723" w:rsidRPr="00247723" w:rsidRDefault="00247723" w:rsidP="00247723">
      <w:pPr>
        <w:widowControl/>
        <w:shd w:val="clear" w:color="auto" w:fill="FFFFFF"/>
        <w:jc w:val="center"/>
        <w:textAlignment w:val="baseline"/>
        <w:rPr>
          <w:rFonts w:ascii="Tahoma" w:eastAsia="宋体" w:hAnsi="Tahoma" w:cs="Tahoma"/>
          <w:color w:val="333333"/>
          <w:kern w:val="0"/>
          <w:sz w:val="14"/>
          <w:szCs w:val="14"/>
        </w:rPr>
      </w:pPr>
      <w:r w:rsidRPr="00247723">
        <w:rPr>
          <w:rFonts w:ascii="黑体" w:eastAsia="黑体" w:hAnsi="Tahoma" w:cs="Tahoma" w:hint="eastAsia"/>
          <w:b/>
          <w:bCs/>
          <w:color w:val="333333"/>
          <w:kern w:val="0"/>
          <w:sz w:val="19"/>
        </w:rPr>
        <w:t>第一章总则</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第一条</w:t>
      </w:r>
      <w:r w:rsidRPr="00247723">
        <w:rPr>
          <w:rFonts w:ascii="宋体" w:eastAsia="宋体" w:hAnsi="宋体" w:cs="Tahoma" w:hint="eastAsia"/>
          <w:color w:val="333333"/>
          <w:kern w:val="0"/>
          <w:sz w:val="16"/>
          <w:szCs w:val="16"/>
        </w:rPr>
        <w:t>为保障师生员工人身安全，维护教学、科研等工作的正常秩序，创建“平安校园”，根据《高等学校实验室工作规程》《高等学校消防安全管理规定》《危险化学品安全管理条例》等规定，制定本办法。</w:t>
      </w:r>
    </w:p>
    <w:p w:rsidR="00247723" w:rsidRPr="00247723" w:rsidRDefault="00247723" w:rsidP="00247723">
      <w:pPr>
        <w:widowControl/>
        <w:shd w:val="clear" w:color="auto" w:fill="FFFFFF"/>
        <w:spacing w:line="213" w:lineRule="atLeast"/>
        <w:ind w:firstLine="375"/>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第二条</w:t>
      </w:r>
      <w:r w:rsidRPr="00247723">
        <w:rPr>
          <w:rFonts w:ascii="宋体" w:eastAsia="宋体" w:hAnsi="宋体" w:cs="Tahoma" w:hint="eastAsia"/>
          <w:color w:val="333333"/>
          <w:kern w:val="0"/>
          <w:sz w:val="16"/>
          <w:szCs w:val="16"/>
        </w:rPr>
        <w:t>本办法中的</w:t>
      </w:r>
      <w:r w:rsidRPr="007C3DDC">
        <w:rPr>
          <w:rFonts w:ascii="宋体" w:eastAsia="宋体" w:hAnsi="宋体" w:cs="Tahoma" w:hint="eastAsia"/>
          <w:color w:val="FF0000"/>
          <w:kern w:val="0"/>
          <w:sz w:val="16"/>
          <w:szCs w:val="16"/>
          <w:highlight w:val="yellow"/>
        </w:rPr>
        <w:t>“实验室”</w:t>
      </w:r>
      <w:r w:rsidRPr="007C3DDC">
        <w:rPr>
          <w:rFonts w:ascii="宋体" w:eastAsia="宋体" w:hAnsi="宋体" w:cs="Tahoma" w:hint="eastAsia"/>
          <w:color w:val="333333"/>
          <w:kern w:val="0"/>
          <w:sz w:val="16"/>
          <w:szCs w:val="16"/>
          <w:highlight w:val="yellow"/>
        </w:rPr>
        <w:t>是指全校开展教学、科研的实验场所。</w:t>
      </w:r>
      <w:r w:rsidRPr="007C3DDC">
        <w:rPr>
          <w:rFonts w:ascii="宋体" w:eastAsia="宋体" w:hAnsi="宋体" w:cs="Tahoma" w:hint="eastAsia"/>
          <w:color w:val="FF0000"/>
          <w:kern w:val="0"/>
          <w:sz w:val="16"/>
          <w:szCs w:val="16"/>
          <w:highlight w:val="yellow"/>
        </w:rPr>
        <w:t>实验室安全工作</w:t>
      </w:r>
      <w:r w:rsidRPr="007C3DDC">
        <w:rPr>
          <w:rFonts w:ascii="宋体" w:eastAsia="宋体" w:hAnsi="宋体" w:cs="Tahoma" w:hint="eastAsia"/>
          <w:color w:val="333333"/>
          <w:kern w:val="0"/>
          <w:sz w:val="16"/>
          <w:szCs w:val="16"/>
          <w:highlight w:val="yellow"/>
        </w:rPr>
        <w:t>是校园综合治理和平安校园建设的重要组成部分，包括实验室准入制度与项目安全审核制度建设、危险化学品安全管理、生物安全管理、辐射安全管理、实验废弃物安全管理、仪器设备安全管理、水电安全管理、安全设施管理、实验室内务管理以及环境保护等工作。</w:t>
      </w:r>
    </w:p>
    <w:p w:rsidR="00247723" w:rsidRPr="00247723" w:rsidRDefault="00247723" w:rsidP="00247723">
      <w:pPr>
        <w:widowControl/>
        <w:shd w:val="clear" w:color="auto" w:fill="FFFFFF"/>
        <w:spacing w:line="213" w:lineRule="atLeast"/>
        <w:ind w:firstLine="375"/>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第三条</w:t>
      </w:r>
      <w:r w:rsidRPr="00247723">
        <w:rPr>
          <w:rFonts w:ascii="宋体" w:eastAsia="宋体" w:hAnsi="宋体" w:cs="Tahoma" w:hint="eastAsia"/>
          <w:color w:val="333333"/>
          <w:kern w:val="0"/>
          <w:sz w:val="16"/>
          <w:szCs w:val="16"/>
        </w:rPr>
        <w:t>实验室安全管理工作按照“以人为本、安全第一、预防为主、综合治理”的方针，实行分管副校长领导下的分工负责制；根据“谁使用，谁负责；谁主管，谁负责”的原则，落实分级负责制。</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第四条</w:t>
      </w:r>
      <w:r w:rsidRPr="00247723">
        <w:rPr>
          <w:rFonts w:ascii="宋体" w:eastAsia="宋体" w:hAnsi="宋体" w:cs="Tahoma" w:hint="eastAsia"/>
          <w:color w:val="333333"/>
          <w:kern w:val="0"/>
          <w:sz w:val="16"/>
          <w:szCs w:val="16"/>
        </w:rPr>
        <w:t>各单位要定期组织开展实验室安全教育和宣传工作，丰富师生的安全知识，营造浓厚的实验室安全校园文化氛围，提高教职工、学生安全意识。</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第五条</w:t>
      </w:r>
      <w:r w:rsidRPr="00247723">
        <w:rPr>
          <w:rFonts w:ascii="宋体" w:eastAsia="宋体" w:hAnsi="宋体" w:cs="Tahoma" w:hint="eastAsia"/>
          <w:color w:val="333333"/>
          <w:kern w:val="0"/>
          <w:sz w:val="16"/>
          <w:szCs w:val="16"/>
        </w:rPr>
        <w:t>实验室安全工作是教师、实验技术人员和管理人员岗位评聘、晋职晋级、年度考核、评奖评优的重要指标之一。</w:t>
      </w:r>
    </w:p>
    <w:p w:rsidR="00247723" w:rsidRPr="00247723" w:rsidRDefault="00247723" w:rsidP="00247723">
      <w:pPr>
        <w:widowControl/>
        <w:shd w:val="clear" w:color="auto" w:fill="FFFFFF"/>
        <w:spacing w:line="213" w:lineRule="atLeast"/>
        <w:jc w:val="center"/>
        <w:textAlignment w:val="baseline"/>
        <w:rPr>
          <w:rFonts w:ascii="Tahoma" w:eastAsia="宋体" w:hAnsi="Tahoma" w:cs="Tahoma"/>
          <w:color w:val="333333"/>
          <w:kern w:val="0"/>
          <w:sz w:val="14"/>
          <w:szCs w:val="14"/>
        </w:rPr>
      </w:pPr>
      <w:r w:rsidRPr="00247723">
        <w:rPr>
          <w:rFonts w:ascii="黑体" w:eastAsia="黑体" w:hAnsi="Tahoma" w:cs="Tahoma" w:hint="eastAsia"/>
          <w:b/>
          <w:bCs/>
          <w:color w:val="333333"/>
          <w:kern w:val="0"/>
          <w:sz w:val="19"/>
        </w:rPr>
        <w:t>第二章实验室安全管理体系及职责</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第六条</w:t>
      </w:r>
      <w:r w:rsidRPr="007C3DDC">
        <w:rPr>
          <w:rFonts w:ascii="宋体" w:eastAsia="宋体" w:hAnsi="宋体" w:cs="Tahoma" w:hint="eastAsia"/>
          <w:color w:val="333333"/>
          <w:kern w:val="0"/>
          <w:sz w:val="16"/>
          <w:szCs w:val="16"/>
          <w:highlight w:val="yellow"/>
        </w:rPr>
        <w:t>学校实验室工作委员会下设实验室技术安全工作小组</w:t>
      </w:r>
      <w:r w:rsidRPr="00247723">
        <w:rPr>
          <w:rFonts w:ascii="宋体" w:eastAsia="宋体" w:hAnsi="宋体" w:cs="Tahoma" w:hint="eastAsia"/>
          <w:color w:val="333333"/>
          <w:kern w:val="0"/>
          <w:sz w:val="16"/>
          <w:szCs w:val="16"/>
        </w:rPr>
        <w:t>，其主要职责是：全面贯彻落实国家关于高校实验室安全工作的法律法规，制定学校实验室安全工作方针和规划；确定实验室安全工作政策和原则，组织制定实验室安全工作规章制度、责任体系和应急预案；督查和协调解决实验室安全工作中的重要事项；研究提出实验室安全设施建设的工作计划、建议和经费投入，协调、指导有关部门落实相关工作。</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第七条</w:t>
      </w:r>
      <w:r w:rsidRPr="007C3DDC">
        <w:rPr>
          <w:rFonts w:ascii="宋体" w:eastAsia="宋体" w:hAnsi="宋体" w:cs="Tahoma" w:hint="eastAsia"/>
          <w:color w:val="333333"/>
          <w:kern w:val="0"/>
          <w:sz w:val="16"/>
          <w:szCs w:val="16"/>
          <w:highlight w:val="yellow"/>
        </w:rPr>
        <w:t>实验管理中心作为实验室安全工作的主要职能部门</w:t>
      </w:r>
      <w:r w:rsidRPr="00247723">
        <w:rPr>
          <w:rFonts w:ascii="宋体" w:eastAsia="宋体" w:hAnsi="宋体" w:cs="Tahoma" w:hint="eastAsia"/>
          <w:color w:val="333333"/>
          <w:kern w:val="0"/>
          <w:sz w:val="16"/>
          <w:szCs w:val="16"/>
        </w:rPr>
        <w:t>，按照上级有关部门和维护学校安全稳定工作领导小组的要求，在实验室工作委员会的指导下，做好全校实验室安全管理工作。其主要职责为：负责制定、完善全校性实验室安全规章制度，及时发布或传达上级部门的有关文件；指导、督查、协调各相关单位做好实验室安全教育培训和安全管理工作，重点是化学、辐射、生物等实验室的安全管理工作；组织或参与实验室安全检查。</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第八条</w:t>
      </w:r>
      <w:r w:rsidRPr="00247723">
        <w:rPr>
          <w:rFonts w:ascii="宋体" w:eastAsia="宋体" w:hAnsi="宋体" w:cs="Tahoma" w:hint="eastAsia"/>
          <w:color w:val="333333"/>
          <w:kern w:val="0"/>
          <w:sz w:val="16"/>
          <w:szCs w:val="16"/>
        </w:rPr>
        <w:t>各相关职能部门做好与实验室安全相关的工作，包括加强对实验用房的安全性评估，加强实验室的安全基础设施建设和改造，加强对科研实验项目的安全性评估和申报工作的指导，加强对实验废弃物的规范化管理和处置，加强对危险化学品、剧毒品、放射性物质以及病原微生物购置、使用、储存和处置的全程监管等。</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第九条</w:t>
      </w:r>
      <w:r w:rsidRPr="007C3DDC">
        <w:rPr>
          <w:rFonts w:ascii="宋体" w:eastAsia="宋体" w:hAnsi="宋体" w:cs="Tahoma" w:hint="eastAsia"/>
          <w:color w:val="333333"/>
          <w:kern w:val="0"/>
          <w:sz w:val="16"/>
          <w:szCs w:val="16"/>
          <w:highlight w:val="yellow"/>
        </w:rPr>
        <w:t>学院、研究院、直属单位主要负责人是本单位的实验室安全工作第一责任人</w:t>
      </w:r>
      <w:r w:rsidRPr="00247723">
        <w:rPr>
          <w:rFonts w:ascii="宋体" w:eastAsia="宋体" w:hAnsi="宋体" w:cs="Tahoma" w:hint="eastAsia"/>
          <w:color w:val="333333"/>
          <w:kern w:val="0"/>
          <w:sz w:val="16"/>
          <w:szCs w:val="16"/>
        </w:rPr>
        <w:t>。其职责为：组织成立实验室安全工作领导小组，建立实验室安全责任体系；制定本单位的实验室安全工作计划并组织实施。</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7C3DDC">
        <w:rPr>
          <w:rFonts w:ascii="宋体" w:eastAsia="宋体" w:hAnsi="宋体" w:cs="Tahoma" w:hint="eastAsia"/>
          <w:color w:val="333333"/>
          <w:kern w:val="0"/>
          <w:sz w:val="16"/>
          <w:szCs w:val="16"/>
          <w:highlight w:val="yellow"/>
        </w:rPr>
        <w:t>各学院、研究院、直属单位要确定本单位分管实验室安全工作的分管负责人</w:t>
      </w:r>
      <w:r w:rsidRPr="00247723">
        <w:rPr>
          <w:rFonts w:ascii="宋体" w:eastAsia="宋体" w:hAnsi="宋体" w:cs="Tahoma" w:hint="eastAsia"/>
          <w:color w:val="333333"/>
          <w:kern w:val="0"/>
          <w:sz w:val="16"/>
          <w:szCs w:val="16"/>
        </w:rPr>
        <w:t>，其职责为建立健全实验室安全责任体系和规章制度；组织、协调、督促各下属单位做好实验室安全工作；组织实验室安全检查，并组织落实隐患整改工作，对于不整改的或出现严重安全问题的实验室，由所在单位实验室安全工作领导小组决定予以封门整改；组织本单位实验室安全环保教育培训，实行实验室准入制度；组织、落实对本单位科研和实验项目安全状况评价、审核工作；发布、报送实验室安全环保工作相关通知、信息、工作进展等。学院设立实验室安全秘书，学院实验室主任与安全秘书协助分管负责人做好本单位实验室安全的具体工作。</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lastRenderedPageBreak/>
        <w:t>第十条</w:t>
      </w:r>
      <w:r w:rsidRPr="007C3DDC">
        <w:rPr>
          <w:rFonts w:ascii="宋体" w:eastAsia="宋体" w:hAnsi="宋体" w:cs="Tahoma" w:hint="eastAsia"/>
          <w:color w:val="333333"/>
          <w:kern w:val="0"/>
          <w:sz w:val="16"/>
          <w:szCs w:val="16"/>
          <w:highlight w:val="yellow"/>
        </w:rPr>
        <w:t>各实验室负责人是本室实验室安全责任人</w:t>
      </w:r>
      <w:r w:rsidRPr="00247723">
        <w:rPr>
          <w:rFonts w:ascii="宋体" w:eastAsia="宋体" w:hAnsi="宋体" w:cs="Tahoma" w:hint="eastAsia"/>
          <w:color w:val="333333"/>
          <w:kern w:val="0"/>
          <w:sz w:val="16"/>
          <w:szCs w:val="16"/>
        </w:rPr>
        <w:t>，其职责为：负责本室安全责任体系的建立和规章制度的建设，组织、督促相关人员做好实验室安全工作；组织、督促教师做好科研和实验项目安全状况的申报工作；开展实验室检查，并组织落实安全隐患整改；根据上级管理部门的有关通知，做好安全信息的汇总、上报等工作。各实验室安全员协助室负责人做好相关安全工作。</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第十一条</w:t>
      </w:r>
      <w:r w:rsidRPr="007C3DDC">
        <w:rPr>
          <w:rFonts w:ascii="宋体" w:eastAsia="宋体" w:hAnsi="宋体" w:cs="Tahoma" w:hint="eastAsia"/>
          <w:color w:val="333333"/>
          <w:kern w:val="0"/>
          <w:sz w:val="16"/>
          <w:szCs w:val="16"/>
          <w:highlight w:val="yellow"/>
        </w:rPr>
        <w:t>实验用房使用者是本房间的直接安全责任人</w:t>
      </w:r>
      <w:r w:rsidRPr="00247723">
        <w:rPr>
          <w:rFonts w:ascii="宋体" w:eastAsia="宋体" w:hAnsi="宋体" w:cs="Tahoma" w:hint="eastAsia"/>
          <w:color w:val="333333"/>
          <w:kern w:val="0"/>
          <w:sz w:val="16"/>
          <w:szCs w:val="16"/>
        </w:rPr>
        <w:t>，其职责为：负责本实验用房安全日常管理工作；结合科研实验项目的安全要求，负责健全实验用房相关安全规章制度，落实值班制度；建立本实验用房内的物品管理台帐；根据实验危险等级情况，负责对本实验用房工作人员进行安全、环保教育和培训，对临时来访人员进行安全告知；保持整洁卫生，组织安全检查并落实隐患整改；结合科研实验项目的安全要求，做好本实验用房安全设施的建设和管理。</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第十二条</w:t>
      </w:r>
      <w:r w:rsidRPr="007C3DDC">
        <w:rPr>
          <w:rFonts w:ascii="宋体" w:eastAsia="宋体" w:hAnsi="宋体" w:cs="Tahoma" w:hint="eastAsia"/>
          <w:color w:val="333333"/>
          <w:kern w:val="0"/>
          <w:sz w:val="16"/>
          <w:szCs w:val="16"/>
          <w:highlight w:val="yellow"/>
        </w:rPr>
        <w:t>在实验室学习、工作的所有人员均对实验室安全工作和自身安全负有责任</w:t>
      </w:r>
      <w:r w:rsidRPr="00247723">
        <w:rPr>
          <w:rFonts w:ascii="宋体" w:eastAsia="宋体" w:hAnsi="宋体" w:cs="Tahoma" w:hint="eastAsia"/>
          <w:color w:val="333333"/>
          <w:kern w:val="0"/>
          <w:sz w:val="16"/>
          <w:szCs w:val="16"/>
        </w:rPr>
        <w:t>，须遵循各项安全管理制度，做好科研和实验项目安全状况自我申报工作，严格按照实验操作规程或实验指导书开展实验，配合各级安全责任人和管理人员做好实验室安全工作，排除安全隐患，避免安全事故的发生。</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7C3DDC">
        <w:rPr>
          <w:rFonts w:ascii="宋体" w:eastAsia="宋体" w:hAnsi="宋体" w:cs="Tahoma" w:hint="eastAsia"/>
          <w:color w:val="333333"/>
          <w:kern w:val="0"/>
          <w:sz w:val="16"/>
          <w:szCs w:val="16"/>
          <w:highlight w:val="yellow"/>
        </w:rPr>
        <w:t>所有进入实验室工作的师生员工需接受实验室安全知识培训</w:t>
      </w:r>
      <w:r w:rsidRPr="00247723">
        <w:rPr>
          <w:rFonts w:ascii="宋体" w:eastAsia="宋体" w:hAnsi="宋体" w:cs="Tahoma" w:hint="eastAsia"/>
          <w:color w:val="333333"/>
          <w:kern w:val="0"/>
          <w:sz w:val="16"/>
          <w:szCs w:val="16"/>
        </w:rPr>
        <w:t>，参加学校相关部门或所在院系组织的实验室安全教育考试，考试合格者方可进入实验室工作；了解实验室安全应急程序，参加突发事件应急处理等演练活动；知晓应急电话号码、应急设施和用品的位置，掌握正确的使用方法。实验指导教师要提高实验室安全责任意识，切实加强对学生的教育和管理，落实安全措施；学生须严格遵守落实实验室规章制度，配合实验室管理工作。临时来访人员须遵守实验室的安全规定。</w:t>
      </w:r>
    </w:p>
    <w:p w:rsidR="00247723" w:rsidRPr="00247723" w:rsidRDefault="00247723" w:rsidP="00247723">
      <w:pPr>
        <w:widowControl/>
        <w:shd w:val="clear" w:color="auto" w:fill="FFFFFF"/>
        <w:spacing w:line="213" w:lineRule="atLeast"/>
        <w:jc w:val="center"/>
        <w:textAlignment w:val="baseline"/>
        <w:rPr>
          <w:rFonts w:ascii="Tahoma" w:eastAsia="宋体" w:hAnsi="Tahoma" w:cs="Tahoma"/>
          <w:color w:val="333333"/>
          <w:kern w:val="0"/>
          <w:sz w:val="14"/>
          <w:szCs w:val="14"/>
        </w:rPr>
      </w:pPr>
      <w:r w:rsidRPr="00247723">
        <w:rPr>
          <w:rFonts w:ascii="黑体" w:eastAsia="黑体" w:hAnsi="Tahoma" w:cs="Tahoma" w:hint="eastAsia"/>
          <w:b/>
          <w:bCs/>
          <w:color w:val="333333"/>
          <w:kern w:val="0"/>
          <w:sz w:val="19"/>
        </w:rPr>
        <w:t>第三章实验室安全管理主要内容</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第十三条</w:t>
      </w:r>
      <w:r w:rsidRPr="007C3DDC">
        <w:rPr>
          <w:rFonts w:ascii="宋体" w:eastAsia="宋体" w:hAnsi="宋体" w:cs="Tahoma" w:hint="eastAsia"/>
          <w:color w:val="333333"/>
          <w:kern w:val="0"/>
          <w:sz w:val="16"/>
          <w:szCs w:val="16"/>
          <w:highlight w:val="yellow"/>
        </w:rPr>
        <w:t>实验室准入制度与项目安全审核制度</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一)建立、落实实验室准入制度。各单位需根据本学科和所、室的特点，加强师生员工和外来人员的安全教育，建立、落实实验室准入制度，通过相关部门组织的实验室安全教育考试者方可进入实验室学习、工作。</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二)建立科研项目安全审核制度。各单位要对存在危险因素的科研项目进行审核，尤其对承担化学、生物、辐射等具有安全隐患的科研项目从严进行审核和监管，其实验室应具备相应的安全设施、特殊实验室资质等条件。</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三)建立实验室建设与改造项目安全审核制度。各单位在申报或批准同意新建、扩建、改造实验场所或设施时，应建立健全审核把关的工作流程，充分考虑安全因素，加强实验室使用者和设计者、建设者之间的交流沟通，严格按照国家有关安全和环保的规范要求设计、施工；项目建成后，须经安全验收、并完成相关的交接工作、明确管理维护单位后方可投入使用。</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第十四条</w:t>
      </w:r>
      <w:r w:rsidRPr="00247723">
        <w:rPr>
          <w:rFonts w:ascii="宋体" w:eastAsia="宋体" w:hAnsi="宋体" w:cs="Tahoma" w:hint="eastAsia"/>
          <w:color w:val="333333"/>
          <w:kern w:val="0"/>
          <w:sz w:val="16"/>
          <w:szCs w:val="16"/>
        </w:rPr>
        <w:t>危险化学品的安全管理</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7C3DDC">
        <w:rPr>
          <w:rFonts w:ascii="宋体" w:eastAsia="宋体" w:hAnsi="宋体" w:cs="Tahoma" w:hint="eastAsia"/>
          <w:color w:val="333333"/>
          <w:kern w:val="0"/>
          <w:sz w:val="16"/>
          <w:szCs w:val="16"/>
          <w:highlight w:val="yellow"/>
        </w:rPr>
        <w:t>危险化学品是指按照国家有关标准规定的爆炸品、压缩气体和液化气体、易燃液体、易燃固体、自燃物品和遇湿易燃物品、氧化剂和有机过氧化物、有毒品和腐蚀品等</w:t>
      </w:r>
      <w:r w:rsidRPr="00247723">
        <w:rPr>
          <w:rFonts w:ascii="宋体" w:eastAsia="宋体" w:hAnsi="宋体" w:cs="Tahoma" w:hint="eastAsia"/>
          <w:color w:val="333333"/>
          <w:kern w:val="0"/>
          <w:sz w:val="16"/>
          <w:szCs w:val="16"/>
        </w:rPr>
        <w:t>。各单位要按照国家法律法规以及学校的相关规定，加强所有涉及危险化学品的教学、实验、科研和生产场所及其活动环节的安全监督与管理，包括购买、运输、存贮、使用、生产、销毁等过程。特别要加强气体钢瓶、剧毒品、易燃易爆、易制毒品、易制爆品的管理。</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第十五条</w:t>
      </w:r>
      <w:r w:rsidRPr="00247723">
        <w:rPr>
          <w:rFonts w:ascii="宋体" w:eastAsia="宋体" w:hAnsi="宋体" w:cs="Tahoma" w:hint="eastAsia"/>
          <w:color w:val="333333"/>
          <w:kern w:val="0"/>
          <w:sz w:val="16"/>
          <w:szCs w:val="16"/>
        </w:rPr>
        <w:t>生物安全管理</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7C3DDC">
        <w:rPr>
          <w:rFonts w:ascii="宋体" w:eastAsia="宋体" w:hAnsi="宋体" w:cs="Tahoma" w:hint="eastAsia"/>
          <w:color w:val="333333"/>
          <w:kern w:val="0"/>
          <w:sz w:val="16"/>
          <w:szCs w:val="16"/>
          <w:highlight w:val="yellow"/>
        </w:rPr>
        <w:t>生物安全主要涉及病原微生物安全、实验动物安全、转基因生物安全等方面。</w:t>
      </w:r>
      <w:r w:rsidRPr="00247723">
        <w:rPr>
          <w:rFonts w:ascii="宋体" w:eastAsia="宋体" w:hAnsi="宋体" w:cs="Tahoma" w:hint="eastAsia"/>
          <w:color w:val="333333"/>
          <w:kern w:val="0"/>
          <w:sz w:val="16"/>
          <w:szCs w:val="16"/>
        </w:rPr>
        <w:t>各单位要按照国家法律法规以及学校的相关规定，规范生化类试剂和用品的采购、实验操作、废弃物处理等工作程序，加强生物类实验室安全的管理，责任到人；加强生物安全实验室的建设、管理和备案工作，获取相应资质。</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第十六条</w:t>
      </w:r>
      <w:r w:rsidRPr="00247723">
        <w:rPr>
          <w:rFonts w:ascii="宋体" w:eastAsia="宋体" w:hAnsi="宋体" w:cs="Tahoma" w:hint="eastAsia"/>
          <w:color w:val="333333"/>
          <w:kern w:val="0"/>
          <w:sz w:val="16"/>
          <w:szCs w:val="16"/>
        </w:rPr>
        <w:t>辐射安全管理</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7C3DDC">
        <w:rPr>
          <w:rFonts w:ascii="宋体" w:eastAsia="宋体" w:hAnsi="宋体" w:cs="Tahoma" w:hint="eastAsia"/>
          <w:color w:val="333333"/>
          <w:kern w:val="0"/>
          <w:sz w:val="16"/>
          <w:szCs w:val="16"/>
          <w:highlight w:val="yellow"/>
        </w:rPr>
        <w:t>辐射安全主要包括放射性同位素和射线装置的安全。</w:t>
      </w:r>
      <w:r w:rsidRPr="00247723">
        <w:rPr>
          <w:rFonts w:ascii="宋体" w:eastAsia="宋体" w:hAnsi="宋体" w:cs="Tahoma" w:hint="eastAsia"/>
          <w:color w:val="333333"/>
          <w:kern w:val="0"/>
          <w:sz w:val="16"/>
          <w:szCs w:val="16"/>
        </w:rPr>
        <w:t>各涉辐单位必须按照国家法规和学校的相关规定，在获取环保部门颁发的《辐射安全许可证》后方能开展相关工作；需加强涉辐场所安全及警示设施的建设，加强辐射装置和放射源的采购、保管、使用、</w:t>
      </w:r>
      <w:r w:rsidRPr="00247723">
        <w:rPr>
          <w:rFonts w:ascii="宋体" w:eastAsia="宋体" w:hAnsi="宋体" w:cs="Tahoma" w:hint="eastAsia"/>
          <w:color w:val="333333"/>
          <w:kern w:val="0"/>
          <w:sz w:val="16"/>
          <w:szCs w:val="16"/>
        </w:rPr>
        <w:lastRenderedPageBreak/>
        <w:t>备案等管理，规范涉辐废弃物的处置。涉辐人员需定期参加辐射安全与防护知识培训，持证上岗，定期参加职业病体检和接受个人剂量监测。</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第十七条</w:t>
      </w:r>
      <w:r w:rsidRPr="007C3DDC">
        <w:rPr>
          <w:rFonts w:ascii="宋体" w:eastAsia="宋体" w:hAnsi="宋体" w:cs="Tahoma" w:hint="eastAsia"/>
          <w:color w:val="333333"/>
          <w:kern w:val="0"/>
          <w:sz w:val="16"/>
          <w:szCs w:val="16"/>
          <w:highlight w:val="yellow"/>
        </w:rPr>
        <w:t>实验废弃物的安全管理</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要加强实验室排污处理装置的建设和管理，严禁将实验废弃物倒入下水道或混入生活垃圾当中；实验废弃物要实行分类存放，做好无害化处理、包装和标识，按照学校的相关规定，</w:t>
      </w:r>
      <w:r w:rsidRPr="007C3DDC">
        <w:rPr>
          <w:rFonts w:ascii="宋体" w:eastAsia="宋体" w:hAnsi="宋体" w:cs="Tahoma" w:hint="eastAsia"/>
          <w:color w:val="333333"/>
          <w:kern w:val="0"/>
          <w:sz w:val="16"/>
          <w:szCs w:val="16"/>
          <w:highlight w:val="yellow"/>
        </w:rPr>
        <w:t>定时送往相应的收集点</w:t>
      </w:r>
      <w:r w:rsidRPr="00247723">
        <w:rPr>
          <w:rFonts w:ascii="宋体" w:eastAsia="宋体" w:hAnsi="宋体" w:cs="Tahoma" w:hint="eastAsia"/>
          <w:color w:val="333333"/>
          <w:kern w:val="0"/>
          <w:sz w:val="16"/>
          <w:szCs w:val="16"/>
        </w:rPr>
        <w:t>，由学校有关职能部门联系有资质的单位进行处置。放射性废弃物严格按照国家环保部门的法律法规进行处置。</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第十八条</w:t>
      </w:r>
      <w:r w:rsidRPr="00247723">
        <w:rPr>
          <w:rFonts w:ascii="宋体" w:eastAsia="宋体" w:hAnsi="宋体" w:cs="Tahoma" w:hint="eastAsia"/>
          <w:color w:val="333333"/>
          <w:kern w:val="0"/>
          <w:sz w:val="16"/>
          <w:szCs w:val="16"/>
        </w:rPr>
        <w:t>仪器设备安全管理</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(一)各单位要</w:t>
      </w:r>
      <w:r w:rsidRPr="007C3DDC">
        <w:rPr>
          <w:rFonts w:ascii="宋体" w:eastAsia="宋体" w:hAnsi="宋体" w:cs="Tahoma" w:hint="eastAsia"/>
          <w:color w:val="333333"/>
          <w:kern w:val="0"/>
          <w:sz w:val="16"/>
          <w:szCs w:val="16"/>
          <w:highlight w:val="yellow"/>
        </w:rPr>
        <w:t>加强各类仪器设备的安全管理，定期维护、保养各种仪器设备及安全设施，对有故障的仪器设备要及时检修，仪器设备的维护保养和检修等要有记录。</w:t>
      </w:r>
      <w:r w:rsidRPr="00247723">
        <w:rPr>
          <w:rFonts w:ascii="宋体" w:eastAsia="宋体" w:hAnsi="宋体" w:cs="Tahoma" w:hint="eastAsia"/>
          <w:color w:val="333333"/>
          <w:kern w:val="0"/>
          <w:sz w:val="16"/>
          <w:szCs w:val="16"/>
        </w:rPr>
        <w:t>对冰箱、高温加热、高压、高辐射、高速运动等有潜在危险的仪器设备尤其要加强管理；对精密仪器、大功率仪器设备、使用强电的仪器设备要保证接地安全，并采取严密的安全防范措施，对服役时间较长的设备以及具有潜在安全隐患的设备应及时报废，消除安全隐患。</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(二)各单位要</w:t>
      </w:r>
      <w:r w:rsidRPr="007C3DDC">
        <w:rPr>
          <w:rFonts w:ascii="宋体" w:eastAsia="宋体" w:hAnsi="宋体" w:cs="Tahoma" w:hint="eastAsia"/>
          <w:color w:val="333333"/>
          <w:kern w:val="0"/>
          <w:sz w:val="16"/>
          <w:szCs w:val="16"/>
          <w:highlight w:val="yellow"/>
        </w:rPr>
        <w:t>加强仪器设备操作人员的业务和安全培训</w:t>
      </w:r>
      <w:r w:rsidRPr="00247723">
        <w:rPr>
          <w:rFonts w:ascii="宋体" w:eastAsia="宋体" w:hAnsi="宋体" w:cs="Tahoma" w:hint="eastAsia"/>
          <w:color w:val="333333"/>
          <w:kern w:val="0"/>
          <w:sz w:val="16"/>
          <w:szCs w:val="16"/>
        </w:rPr>
        <w:t>，按照操作规程开展实验教学和科研工作。国家规定的某些特殊仪器设备和岗位需实行上岗证制度。</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(三)对于自制自研设备，要充分考虑安全因素，并严格按照设计规范和国家相关标准进行设计和制造，防止安全事故的发生。</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第十九条</w:t>
      </w:r>
      <w:r w:rsidRPr="007C3DDC">
        <w:rPr>
          <w:rFonts w:ascii="宋体" w:eastAsia="宋体" w:hAnsi="宋体" w:cs="Tahoma" w:hint="eastAsia"/>
          <w:color w:val="333333"/>
          <w:kern w:val="0"/>
          <w:sz w:val="16"/>
          <w:szCs w:val="16"/>
          <w:highlight w:val="yellow"/>
        </w:rPr>
        <w:t>水电安全管理</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(一)实验室内应使用空气开关并配备必要的漏电保护器；</w:t>
      </w:r>
      <w:r w:rsidRPr="007C3DDC">
        <w:rPr>
          <w:rFonts w:ascii="宋体" w:eastAsia="宋体" w:hAnsi="宋体" w:cs="Tahoma" w:hint="eastAsia"/>
          <w:color w:val="333333"/>
          <w:kern w:val="0"/>
          <w:sz w:val="16"/>
          <w:szCs w:val="16"/>
          <w:highlight w:val="yellow"/>
        </w:rPr>
        <w:t>电气设备应配备足够的用电功率和电线，不得超负荷用电；</w:t>
      </w:r>
      <w:r w:rsidRPr="00247723">
        <w:rPr>
          <w:rFonts w:ascii="宋体" w:eastAsia="宋体" w:hAnsi="宋体" w:cs="Tahoma" w:hint="eastAsia"/>
          <w:color w:val="333333"/>
          <w:kern w:val="0"/>
          <w:sz w:val="16"/>
          <w:szCs w:val="16"/>
        </w:rPr>
        <w:t>电气设备和大型仪器须接地良好，对电线老化等隐患要定期检查并及时排除。</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(二)实验室固定电源插座未经允许不得拆装、改线，不得乱接、乱拉电线，不得使用闸刀开关、木质配电板和花线。</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(三)除非工作需要，并采取必要的安全保护措施，空调、计算机、饮水机等不得在无人情况下开机过夜。严禁在实验室内为电动车等大功率电器充电。</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(四)化学类实验室一般不得使用明火电炉，如确因工作需要且无法用其它加热设备替代时，可以在做好安全防范措施的前提下向实验管理中心提出申请，经现场审核取得《明火电炉使用许可证》后方可使用。</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(五)实验室要杜绝自来水龙头打开而无人监管的现象，要定期检查上下水管路、化学冷却冷凝系统的橡胶管等，避免发生因管路老化、堵塞等情况所造成的安全事故。</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第二十条</w:t>
      </w:r>
      <w:r w:rsidRPr="007C3DDC">
        <w:rPr>
          <w:rFonts w:ascii="宋体" w:eastAsia="宋体" w:hAnsi="宋体" w:cs="Tahoma" w:hint="eastAsia"/>
          <w:color w:val="333333"/>
          <w:kern w:val="0"/>
          <w:sz w:val="16"/>
          <w:szCs w:val="16"/>
          <w:highlight w:val="yellow"/>
        </w:rPr>
        <w:t>安全设施管理</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依据国家相关规范要求配置消防器材，烟雾报警、监控系统、应急喷淋、洗眼装置、危险气体报警、通风系统、防护罩、警戒隔离等安全设施，建立实验废水收集系统，配备必要的防护用品，并加强实验室安全设施的管理工作，切实做好更新、维护保养和检修工作，做好相关记录，确保其完好性。</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第二十一条</w:t>
      </w:r>
      <w:r w:rsidRPr="001257BD">
        <w:rPr>
          <w:rFonts w:ascii="宋体" w:eastAsia="宋体" w:hAnsi="宋体" w:cs="Tahoma" w:hint="eastAsia"/>
          <w:color w:val="333333"/>
          <w:kern w:val="0"/>
          <w:sz w:val="16"/>
          <w:szCs w:val="16"/>
          <w:highlight w:val="yellow"/>
        </w:rPr>
        <w:t>实验室内务管理</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(一)各实验用房必须落实安全责任人，各单位必须将</w:t>
      </w:r>
      <w:r w:rsidRPr="001257BD">
        <w:rPr>
          <w:rFonts w:ascii="宋体" w:eastAsia="宋体" w:hAnsi="宋体" w:cs="Tahoma" w:hint="eastAsia"/>
          <w:color w:val="333333"/>
          <w:kern w:val="0"/>
          <w:sz w:val="16"/>
          <w:szCs w:val="16"/>
          <w:highlight w:val="yellow"/>
        </w:rPr>
        <w:t>实验室名称、责任人、联系电话等信息统一制牌</w:t>
      </w:r>
      <w:r w:rsidRPr="00247723">
        <w:rPr>
          <w:rFonts w:ascii="宋体" w:eastAsia="宋体" w:hAnsi="宋体" w:cs="Tahoma" w:hint="eastAsia"/>
          <w:color w:val="333333"/>
          <w:kern w:val="0"/>
          <w:sz w:val="16"/>
          <w:szCs w:val="16"/>
        </w:rPr>
        <w:t>，并放置在明显位置，便于督查和联系。</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(二)实验室应</w:t>
      </w:r>
      <w:r w:rsidRPr="001257BD">
        <w:rPr>
          <w:rFonts w:ascii="宋体" w:eastAsia="宋体" w:hAnsi="宋体" w:cs="Tahoma" w:hint="eastAsia"/>
          <w:color w:val="333333"/>
          <w:kern w:val="0"/>
          <w:sz w:val="16"/>
          <w:szCs w:val="16"/>
          <w:highlight w:val="yellow"/>
        </w:rPr>
        <w:t>建立卫生值日制度</w:t>
      </w:r>
      <w:r w:rsidRPr="00247723">
        <w:rPr>
          <w:rFonts w:ascii="宋体" w:eastAsia="宋体" w:hAnsi="宋体" w:cs="Tahoma" w:hint="eastAsia"/>
          <w:color w:val="333333"/>
          <w:kern w:val="0"/>
          <w:sz w:val="16"/>
          <w:szCs w:val="16"/>
        </w:rPr>
        <w:t>，保持清洁整齐，仪器设备布局合理。要处理好实验材料、实验剩余物和废弃物，及时清除室内外垃圾，禁止在实验室堆放杂物。</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(三)实验室必须妥善管理安全设施、消防器材和防盗装置，并定期进行检查；消防器材不得移作它用，周围禁止堆放杂物，保持消防通道畅通。</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lastRenderedPageBreak/>
        <w:t>    (四)各单位必须安排专人负责实验室钥匙的配发和管理，不得私自配置钥匙或借给他人使用；使用电子门禁的大楼和实验室，必须对各类人员设置相应的权限，对门禁卡丢失、人员调动或离校等情况应及时采取措施，办理报失或移交手续；各单位或各实验大楼必须保留一套所有房间的备用钥匙，由单位办公室或大楼值班室保管，以备紧急之需。</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(五)</w:t>
      </w:r>
      <w:r w:rsidRPr="001257BD">
        <w:rPr>
          <w:rFonts w:ascii="宋体" w:eastAsia="宋体" w:hAnsi="宋体" w:cs="Tahoma" w:hint="eastAsia"/>
          <w:color w:val="333333"/>
          <w:kern w:val="0"/>
          <w:sz w:val="16"/>
          <w:szCs w:val="16"/>
          <w:highlight w:val="yellow"/>
        </w:rPr>
        <w:t>严禁在实验室区域吸烟、烹饪、用膳</w:t>
      </w:r>
      <w:r w:rsidRPr="00247723">
        <w:rPr>
          <w:rFonts w:ascii="宋体" w:eastAsia="宋体" w:hAnsi="宋体" w:cs="Tahoma" w:hint="eastAsia"/>
          <w:color w:val="333333"/>
          <w:kern w:val="0"/>
          <w:sz w:val="16"/>
          <w:szCs w:val="16"/>
        </w:rPr>
        <w:t>，严禁与工作无关的外来人员进入实验室，不得在实验室内留宿和进行娱乐活动等。</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(六)按照学科性质的不同需要，</w:t>
      </w:r>
      <w:r w:rsidRPr="001257BD">
        <w:rPr>
          <w:rFonts w:ascii="宋体" w:eastAsia="宋体" w:hAnsi="宋体" w:cs="Tahoma" w:hint="eastAsia"/>
          <w:color w:val="333333"/>
          <w:kern w:val="0"/>
          <w:sz w:val="16"/>
          <w:szCs w:val="16"/>
          <w:highlight w:val="yellow"/>
        </w:rPr>
        <w:t>要给实验人员配备必需的劳保、防护用品，以保证实验人员的安全和健康</w:t>
      </w:r>
      <w:r w:rsidRPr="00247723">
        <w:rPr>
          <w:rFonts w:ascii="宋体" w:eastAsia="宋体" w:hAnsi="宋体" w:cs="Tahoma" w:hint="eastAsia"/>
          <w:color w:val="333333"/>
          <w:kern w:val="0"/>
          <w:sz w:val="16"/>
          <w:szCs w:val="16"/>
        </w:rPr>
        <w:t>。</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(七)实验结束或离开实验室时，必须按规定采取结束或暂离实验的措施，并查看仪器设备、水、电、气和门窗关闭等情况。</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第二十二条</w:t>
      </w:r>
      <w:r w:rsidRPr="00247723">
        <w:rPr>
          <w:rFonts w:ascii="宋体" w:eastAsia="宋体" w:hAnsi="宋体" w:cs="Tahoma" w:hint="eastAsia"/>
          <w:color w:val="333333"/>
          <w:kern w:val="0"/>
          <w:sz w:val="16"/>
          <w:szCs w:val="16"/>
        </w:rPr>
        <w:t>对以上条款未涵盖的实验室安全工作按国家有关实验室安全法律法规和规章制度加强管理。</w:t>
      </w:r>
    </w:p>
    <w:p w:rsidR="00247723" w:rsidRPr="00247723" w:rsidRDefault="00247723" w:rsidP="00247723">
      <w:pPr>
        <w:widowControl/>
        <w:shd w:val="clear" w:color="auto" w:fill="FFFFFF"/>
        <w:spacing w:line="213" w:lineRule="atLeast"/>
        <w:jc w:val="center"/>
        <w:textAlignment w:val="baseline"/>
        <w:rPr>
          <w:rFonts w:ascii="Tahoma" w:eastAsia="宋体" w:hAnsi="Tahoma" w:cs="Tahoma"/>
          <w:color w:val="333333"/>
          <w:kern w:val="0"/>
          <w:sz w:val="14"/>
          <w:szCs w:val="14"/>
        </w:rPr>
      </w:pPr>
      <w:r w:rsidRPr="00247723">
        <w:rPr>
          <w:rFonts w:ascii="黑体" w:eastAsia="黑体" w:hAnsi="Tahoma" w:cs="Tahoma" w:hint="eastAsia"/>
          <w:b/>
          <w:bCs/>
          <w:color w:val="333333"/>
          <w:kern w:val="0"/>
          <w:sz w:val="19"/>
        </w:rPr>
        <w:t>第四章实验室安全检查与整改</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第二十三条</w:t>
      </w:r>
      <w:r w:rsidRPr="00247723">
        <w:rPr>
          <w:rFonts w:ascii="宋体" w:eastAsia="宋体" w:hAnsi="宋体" w:cs="Tahoma" w:hint="eastAsia"/>
          <w:color w:val="333333"/>
          <w:kern w:val="0"/>
          <w:sz w:val="16"/>
          <w:szCs w:val="16"/>
        </w:rPr>
        <w:t>加强实验室安全与卫生检查</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(一)学校、学院、实验室须建立实验室安全与卫生检查制度，经常组织定期或不定期检查和督查。</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(二)</w:t>
      </w:r>
      <w:r w:rsidRPr="003E5302">
        <w:rPr>
          <w:rFonts w:ascii="宋体" w:eastAsia="宋体" w:hAnsi="宋体" w:cs="Tahoma" w:hint="eastAsia"/>
          <w:color w:val="333333"/>
          <w:kern w:val="0"/>
          <w:sz w:val="16"/>
          <w:szCs w:val="16"/>
          <w:highlight w:val="yellow"/>
        </w:rPr>
        <w:t>各学院、实验室应建立实验室安全与卫生管理检查台账</w:t>
      </w:r>
      <w:r w:rsidRPr="00247723">
        <w:rPr>
          <w:rFonts w:ascii="宋体" w:eastAsia="宋体" w:hAnsi="宋体" w:cs="Tahoma" w:hint="eastAsia"/>
          <w:color w:val="333333"/>
          <w:kern w:val="0"/>
          <w:sz w:val="16"/>
          <w:szCs w:val="16"/>
        </w:rPr>
        <w:t>，</w:t>
      </w:r>
      <w:r w:rsidRPr="003E5302">
        <w:rPr>
          <w:rFonts w:ascii="宋体" w:eastAsia="宋体" w:hAnsi="宋体" w:cs="Tahoma" w:hint="eastAsia"/>
          <w:color w:val="333333"/>
          <w:kern w:val="0"/>
          <w:sz w:val="16"/>
          <w:szCs w:val="16"/>
          <w:highlight w:val="yellow"/>
        </w:rPr>
        <w:t>记录每次检查情况；对发现的问题和隐患进行梳理，分清责任并积极整改；每次检查结束后，各学院须将检查结果形成报告，并报实验管理中心</w:t>
      </w:r>
      <w:r w:rsidRPr="00247723">
        <w:rPr>
          <w:rFonts w:ascii="宋体" w:eastAsia="宋体" w:hAnsi="宋体" w:cs="Tahoma" w:hint="eastAsia"/>
          <w:color w:val="333333"/>
          <w:kern w:val="0"/>
          <w:sz w:val="16"/>
          <w:szCs w:val="16"/>
        </w:rPr>
        <w:t>。</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    (三)对违反国家有关法律法规、学校规章制度和存在严重安全隐患的实验室，实验管理中心将予以网上通报或发出《整改通知书》，要求限期整改。对于不整改或出现严重问题的实验室，将进行封门，直至整改完成。</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第二十四条</w:t>
      </w:r>
      <w:r w:rsidRPr="00247723">
        <w:rPr>
          <w:rFonts w:ascii="宋体" w:eastAsia="宋体" w:hAnsi="宋体" w:cs="Tahoma" w:hint="eastAsia"/>
          <w:color w:val="333333"/>
          <w:kern w:val="0"/>
          <w:sz w:val="16"/>
          <w:szCs w:val="16"/>
        </w:rPr>
        <w:t>安全隐患整改</w:t>
      </w:r>
    </w:p>
    <w:p w:rsidR="00247723" w:rsidRPr="00247723" w:rsidRDefault="00247723" w:rsidP="00247723">
      <w:pPr>
        <w:widowControl/>
        <w:shd w:val="clear" w:color="auto" w:fill="FFFFFF"/>
        <w:spacing w:line="213" w:lineRule="atLeast"/>
        <w:ind w:firstLine="325"/>
        <w:jc w:val="left"/>
        <w:textAlignment w:val="baseline"/>
        <w:rPr>
          <w:rFonts w:ascii="Tahoma" w:eastAsia="宋体" w:hAnsi="Tahoma" w:cs="Tahoma"/>
          <w:color w:val="333333"/>
          <w:kern w:val="0"/>
          <w:sz w:val="14"/>
          <w:szCs w:val="14"/>
        </w:rPr>
      </w:pPr>
      <w:r w:rsidRPr="00247723">
        <w:rPr>
          <w:rFonts w:ascii="宋体" w:eastAsia="宋体" w:hAnsi="宋体" w:cs="Tahoma" w:hint="eastAsia"/>
          <w:color w:val="333333"/>
          <w:kern w:val="0"/>
          <w:sz w:val="16"/>
          <w:szCs w:val="16"/>
        </w:rPr>
        <w:t>发现实验室存在安全隐患，要及时采取措施进行整改。发现严重安全隐患或一时无法解决的安全隐患，应采取相应的安全防护措施，并向学校相关部门报告。对于安全隐患，任何单位和个人不得隐瞒或拖延上报。</w:t>
      </w:r>
    </w:p>
    <w:p w:rsidR="00247723" w:rsidRPr="00247723" w:rsidRDefault="00247723" w:rsidP="00247723">
      <w:pPr>
        <w:widowControl/>
        <w:shd w:val="clear" w:color="auto" w:fill="FFFFFF"/>
        <w:spacing w:line="213" w:lineRule="atLeast"/>
        <w:jc w:val="center"/>
        <w:textAlignment w:val="baseline"/>
        <w:rPr>
          <w:rFonts w:ascii="Tahoma" w:eastAsia="宋体" w:hAnsi="Tahoma" w:cs="Tahoma"/>
          <w:color w:val="333333"/>
          <w:kern w:val="0"/>
          <w:sz w:val="14"/>
          <w:szCs w:val="14"/>
        </w:rPr>
      </w:pPr>
      <w:r w:rsidRPr="00247723">
        <w:rPr>
          <w:rFonts w:ascii="黑体" w:eastAsia="黑体" w:hAnsi="Tahoma" w:cs="Tahoma" w:hint="eastAsia"/>
          <w:b/>
          <w:bCs/>
          <w:color w:val="333333"/>
          <w:kern w:val="0"/>
          <w:sz w:val="19"/>
        </w:rPr>
        <w:t>第五章附则</w:t>
      </w:r>
    </w:p>
    <w:p w:rsidR="00247723" w:rsidRPr="00247723" w:rsidRDefault="00247723" w:rsidP="00247723">
      <w:pPr>
        <w:widowControl/>
        <w:shd w:val="clear" w:color="auto" w:fill="FFFFFF"/>
        <w:spacing w:line="213" w:lineRule="atLeast"/>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第二十五条</w:t>
      </w:r>
      <w:r w:rsidRPr="00247723">
        <w:rPr>
          <w:rFonts w:ascii="宋体" w:eastAsia="宋体" w:hAnsi="宋体" w:cs="Tahoma" w:hint="eastAsia"/>
          <w:color w:val="333333"/>
          <w:kern w:val="0"/>
          <w:sz w:val="16"/>
          <w:szCs w:val="16"/>
        </w:rPr>
        <w:t>实验室发生意外事故，应立即启动应急预案，及时报告学校相关部门，做好应急处置工作，并上报事故报告。人为原因造成实验室安全事故的，应按照学校相关规定予以责任追究。</w:t>
      </w:r>
    </w:p>
    <w:p w:rsidR="00247723" w:rsidRPr="00247723" w:rsidRDefault="00247723" w:rsidP="00247723">
      <w:pPr>
        <w:widowControl/>
        <w:shd w:val="clear" w:color="auto" w:fill="FFFFFF"/>
        <w:ind w:firstLine="325"/>
        <w:jc w:val="left"/>
        <w:textAlignment w:val="baseline"/>
        <w:rPr>
          <w:rFonts w:ascii="Tahoma" w:eastAsia="宋体" w:hAnsi="Tahoma" w:cs="Tahoma"/>
          <w:color w:val="333333"/>
          <w:kern w:val="0"/>
          <w:sz w:val="14"/>
          <w:szCs w:val="14"/>
        </w:rPr>
      </w:pPr>
      <w:r w:rsidRPr="00247723">
        <w:rPr>
          <w:rFonts w:ascii="黑体" w:eastAsia="黑体" w:hAnsi="Tahoma" w:cs="Tahoma" w:hint="eastAsia"/>
          <w:color w:val="333333"/>
          <w:kern w:val="0"/>
          <w:sz w:val="16"/>
          <w:szCs w:val="16"/>
        </w:rPr>
        <w:t>第二十六条</w:t>
      </w:r>
      <w:r w:rsidRPr="00247723">
        <w:rPr>
          <w:rFonts w:ascii="宋体" w:eastAsia="宋体" w:hAnsi="宋体" w:cs="Tahoma" w:hint="eastAsia"/>
          <w:color w:val="333333"/>
          <w:kern w:val="0"/>
          <w:sz w:val="16"/>
          <w:szCs w:val="16"/>
        </w:rPr>
        <w:t>本办法由实验管理中心负责解释，自发布之日起施行。其他未尽事项，按国家有关法律法规执行。</w:t>
      </w:r>
    </w:p>
    <w:p w:rsidR="002B2EB2" w:rsidRPr="00247723" w:rsidRDefault="002B2EB2" w:rsidP="00247723"/>
    <w:sectPr w:rsidR="002B2EB2" w:rsidRPr="00247723" w:rsidSect="008647E1">
      <w:pgSz w:w="11907" w:h="16840" w:code="9"/>
      <w:pgMar w:top="1418" w:right="1418" w:bottom="1418" w:left="1418" w:header="720" w:footer="720" w:gutter="0"/>
      <w:cols w:space="425"/>
      <w:noEndnote/>
      <w:docGrid w:type="lines"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displayBackgroundShape/>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
  <w:rsids>
    <w:rsidRoot w:val="008647E1"/>
    <w:rsid w:val="000F1CD1"/>
    <w:rsid w:val="001257BD"/>
    <w:rsid w:val="00247723"/>
    <w:rsid w:val="00254EE3"/>
    <w:rsid w:val="002B2EB2"/>
    <w:rsid w:val="003E5302"/>
    <w:rsid w:val="00404726"/>
    <w:rsid w:val="004A3008"/>
    <w:rsid w:val="004F626D"/>
    <w:rsid w:val="005260B9"/>
    <w:rsid w:val="00580820"/>
    <w:rsid w:val="005B13A7"/>
    <w:rsid w:val="005D6D7B"/>
    <w:rsid w:val="007C3DDC"/>
    <w:rsid w:val="00850A98"/>
    <w:rsid w:val="00857398"/>
    <w:rsid w:val="008647E1"/>
    <w:rsid w:val="009A5D2E"/>
    <w:rsid w:val="00A279BF"/>
    <w:rsid w:val="00C77461"/>
    <w:rsid w:val="00F44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B2"/>
    <w:pPr>
      <w:widowControl w:val="0"/>
      <w:jc w:val="both"/>
    </w:pPr>
  </w:style>
  <w:style w:type="paragraph" w:styleId="1">
    <w:name w:val="heading 1"/>
    <w:basedOn w:val="a"/>
    <w:link w:val="1Char"/>
    <w:uiPriority w:val="9"/>
    <w:qFormat/>
    <w:rsid w:val="00A279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8647E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647E1"/>
    <w:rPr>
      <w:b/>
      <w:bCs/>
    </w:rPr>
  </w:style>
  <w:style w:type="paragraph" w:customStyle="1" w:styleId="artimetas">
    <w:name w:val="arti_metas"/>
    <w:basedOn w:val="a"/>
    <w:rsid w:val="00F44A49"/>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F44A49"/>
  </w:style>
  <w:style w:type="character" w:customStyle="1" w:styleId="artiupdate">
    <w:name w:val="arti_update"/>
    <w:basedOn w:val="a0"/>
    <w:rsid w:val="00F44A49"/>
  </w:style>
  <w:style w:type="character" w:customStyle="1" w:styleId="artiviews">
    <w:name w:val="arti_views"/>
    <w:basedOn w:val="a0"/>
    <w:rsid w:val="00F44A49"/>
  </w:style>
  <w:style w:type="character" w:customStyle="1" w:styleId="wpvisitcount">
    <w:name w:val="wp_visitcount"/>
    <w:basedOn w:val="a0"/>
    <w:rsid w:val="00F44A49"/>
  </w:style>
  <w:style w:type="character" w:customStyle="1" w:styleId="1Char">
    <w:name w:val="标题 1 Char"/>
    <w:basedOn w:val="a0"/>
    <w:link w:val="1"/>
    <w:uiPriority w:val="9"/>
    <w:rsid w:val="00A279BF"/>
    <w:rPr>
      <w:rFonts w:ascii="宋体" w:eastAsia="宋体" w:hAnsi="宋体" w:cs="宋体"/>
      <w:b/>
      <w:bCs/>
      <w:kern w:val="36"/>
      <w:sz w:val="48"/>
      <w:szCs w:val="48"/>
    </w:rPr>
  </w:style>
  <w:style w:type="paragraph" w:styleId="a4">
    <w:name w:val="Normal (Web)"/>
    <w:basedOn w:val="a"/>
    <w:uiPriority w:val="99"/>
    <w:unhideWhenUsed/>
    <w:rsid w:val="00A279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713330">
      <w:bodyDiv w:val="1"/>
      <w:marLeft w:val="0"/>
      <w:marRight w:val="0"/>
      <w:marTop w:val="0"/>
      <w:marBottom w:val="0"/>
      <w:divBdr>
        <w:top w:val="none" w:sz="0" w:space="0" w:color="auto"/>
        <w:left w:val="none" w:sz="0" w:space="0" w:color="auto"/>
        <w:bottom w:val="none" w:sz="0" w:space="0" w:color="auto"/>
        <w:right w:val="none" w:sz="0" w:space="0" w:color="auto"/>
      </w:divBdr>
    </w:div>
    <w:div w:id="317853592">
      <w:bodyDiv w:val="1"/>
      <w:marLeft w:val="0"/>
      <w:marRight w:val="0"/>
      <w:marTop w:val="0"/>
      <w:marBottom w:val="0"/>
      <w:divBdr>
        <w:top w:val="none" w:sz="0" w:space="0" w:color="auto"/>
        <w:left w:val="none" w:sz="0" w:space="0" w:color="auto"/>
        <w:bottom w:val="none" w:sz="0" w:space="0" w:color="auto"/>
        <w:right w:val="none" w:sz="0" w:space="0" w:color="auto"/>
      </w:divBdr>
      <w:divsChild>
        <w:div w:id="726417690">
          <w:marLeft w:val="0"/>
          <w:marRight w:val="0"/>
          <w:marTop w:val="0"/>
          <w:marBottom w:val="0"/>
          <w:divBdr>
            <w:top w:val="none" w:sz="0" w:space="0" w:color="auto"/>
            <w:left w:val="none" w:sz="0" w:space="0" w:color="auto"/>
            <w:bottom w:val="none" w:sz="0" w:space="0" w:color="auto"/>
            <w:right w:val="none" w:sz="0" w:space="0" w:color="auto"/>
          </w:divBdr>
          <w:divsChild>
            <w:div w:id="418866020">
              <w:marLeft w:val="0"/>
              <w:marRight w:val="0"/>
              <w:marTop w:val="0"/>
              <w:marBottom w:val="0"/>
              <w:divBdr>
                <w:top w:val="none" w:sz="0" w:space="0" w:color="auto"/>
                <w:left w:val="none" w:sz="0" w:space="0" w:color="auto"/>
                <w:bottom w:val="none" w:sz="0" w:space="0" w:color="auto"/>
                <w:right w:val="none" w:sz="0" w:space="0" w:color="auto"/>
              </w:divBdr>
              <w:divsChild>
                <w:div w:id="9226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2931">
      <w:bodyDiv w:val="1"/>
      <w:marLeft w:val="0"/>
      <w:marRight w:val="0"/>
      <w:marTop w:val="0"/>
      <w:marBottom w:val="0"/>
      <w:divBdr>
        <w:top w:val="none" w:sz="0" w:space="0" w:color="auto"/>
        <w:left w:val="none" w:sz="0" w:space="0" w:color="auto"/>
        <w:bottom w:val="none" w:sz="0" w:space="0" w:color="auto"/>
        <w:right w:val="none" w:sz="0" w:space="0" w:color="auto"/>
      </w:divBdr>
      <w:divsChild>
        <w:div w:id="1493138111">
          <w:marLeft w:val="0"/>
          <w:marRight w:val="0"/>
          <w:marTop w:val="0"/>
          <w:marBottom w:val="0"/>
          <w:divBdr>
            <w:top w:val="none" w:sz="0" w:space="0" w:color="auto"/>
            <w:left w:val="none" w:sz="0" w:space="0" w:color="auto"/>
            <w:bottom w:val="none" w:sz="0" w:space="0" w:color="auto"/>
            <w:right w:val="none" w:sz="0" w:space="0" w:color="auto"/>
          </w:divBdr>
          <w:divsChild>
            <w:div w:id="2065714277">
              <w:marLeft w:val="0"/>
              <w:marRight w:val="0"/>
              <w:marTop w:val="0"/>
              <w:marBottom w:val="0"/>
              <w:divBdr>
                <w:top w:val="none" w:sz="0" w:space="0" w:color="auto"/>
                <w:left w:val="none" w:sz="0" w:space="0" w:color="auto"/>
                <w:bottom w:val="none" w:sz="0" w:space="0" w:color="auto"/>
                <w:right w:val="none" w:sz="0" w:space="0" w:color="auto"/>
              </w:divBdr>
              <w:divsChild>
                <w:div w:id="19206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7302">
      <w:bodyDiv w:val="1"/>
      <w:marLeft w:val="0"/>
      <w:marRight w:val="0"/>
      <w:marTop w:val="0"/>
      <w:marBottom w:val="0"/>
      <w:divBdr>
        <w:top w:val="none" w:sz="0" w:space="0" w:color="auto"/>
        <w:left w:val="none" w:sz="0" w:space="0" w:color="auto"/>
        <w:bottom w:val="none" w:sz="0" w:space="0" w:color="auto"/>
        <w:right w:val="none" w:sz="0" w:space="0" w:color="auto"/>
      </w:divBdr>
      <w:divsChild>
        <w:div w:id="963193910">
          <w:marLeft w:val="0"/>
          <w:marRight w:val="0"/>
          <w:marTop w:val="0"/>
          <w:marBottom w:val="0"/>
          <w:divBdr>
            <w:top w:val="none" w:sz="0" w:space="0" w:color="auto"/>
            <w:left w:val="none" w:sz="0" w:space="0" w:color="auto"/>
            <w:bottom w:val="none" w:sz="0" w:space="0" w:color="auto"/>
            <w:right w:val="none" w:sz="0" w:space="0" w:color="auto"/>
          </w:divBdr>
          <w:divsChild>
            <w:div w:id="157162282">
              <w:marLeft w:val="0"/>
              <w:marRight w:val="0"/>
              <w:marTop w:val="0"/>
              <w:marBottom w:val="0"/>
              <w:divBdr>
                <w:top w:val="none" w:sz="0" w:space="0" w:color="auto"/>
                <w:left w:val="none" w:sz="0" w:space="0" w:color="auto"/>
                <w:bottom w:val="none" w:sz="0" w:space="0" w:color="auto"/>
                <w:right w:val="none" w:sz="0" w:space="0" w:color="auto"/>
              </w:divBdr>
              <w:divsChild>
                <w:div w:id="642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3853">
      <w:bodyDiv w:val="1"/>
      <w:marLeft w:val="0"/>
      <w:marRight w:val="0"/>
      <w:marTop w:val="0"/>
      <w:marBottom w:val="0"/>
      <w:divBdr>
        <w:top w:val="none" w:sz="0" w:space="0" w:color="auto"/>
        <w:left w:val="none" w:sz="0" w:space="0" w:color="auto"/>
        <w:bottom w:val="none" w:sz="0" w:space="0" w:color="auto"/>
        <w:right w:val="none" w:sz="0" w:space="0" w:color="auto"/>
      </w:divBdr>
      <w:divsChild>
        <w:div w:id="648439623">
          <w:marLeft w:val="0"/>
          <w:marRight w:val="0"/>
          <w:marTop w:val="0"/>
          <w:marBottom w:val="0"/>
          <w:divBdr>
            <w:top w:val="none" w:sz="0" w:space="0" w:color="auto"/>
            <w:left w:val="none" w:sz="0" w:space="0" w:color="auto"/>
            <w:bottom w:val="none" w:sz="0" w:space="0" w:color="auto"/>
            <w:right w:val="none" w:sz="0" w:space="0" w:color="auto"/>
          </w:divBdr>
          <w:divsChild>
            <w:div w:id="1839691955">
              <w:marLeft w:val="0"/>
              <w:marRight w:val="0"/>
              <w:marTop w:val="0"/>
              <w:marBottom w:val="0"/>
              <w:divBdr>
                <w:top w:val="none" w:sz="0" w:space="0" w:color="auto"/>
                <w:left w:val="none" w:sz="0" w:space="0" w:color="auto"/>
                <w:bottom w:val="none" w:sz="0" w:space="0" w:color="auto"/>
                <w:right w:val="none" w:sz="0" w:space="0" w:color="auto"/>
              </w:divBdr>
              <w:divsChild>
                <w:div w:id="17411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9579">
      <w:bodyDiv w:val="1"/>
      <w:marLeft w:val="0"/>
      <w:marRight w:val="0"/>
      <w:marTop w:val="0"/>
      <w:marBottom w:val="0"/>
      <w:divBdr>
        <w:top w:val="none" w:sz="0" w:space="0" w:color="auto"/>
        <w:left w:val="none" w:sz="0" w:space="0" w:color="auto"/>
        <w:bottom w:val="none" w:sz="0" w:space="0" w:color="auto"/>
        <w:right w:val="none" w:sz="0" w:space="0" w:color="auto"/>
      </w:divBdr>
      <w:divsChild>
        <w:div w:id="2024168003">
          <w:marLeft w:val="0"/>
          <w:marRight w:val="0"/>
          <w:marTop w:val="0"/>
          <w:marBottom w:val="0"/>
          <w:divBdr>
            <w:top w:val="none" w:sz="0" w:space="0" w:color="auto"/>
            <w:left w:val="none" w:sz="0" w:space="0" w:color="auto"/>
            <w:bottom w:val="none" w:sz="0" w:space="0" w:color="auto"/>
            <w:right w:val="none" w:sz="0" w:space="0" w:color="auto"/>
          </w:divBdr>
          <w:divsChild>
            <w:div w:id="1871603726">
              <w:marLeft w:val="0"/>
              <w:marRight w:val="0"/>
              <w:marTop w:val="0"/>
              <w:marBottom w:val="0"/>
              <w:divBdr>
                <w:top w:val="none" w:sz="0" w:space="0" w:color="auto"/>
                <w:left w:val="none" w:sz="0" w:space="0" w:color="auto"/>
                <w:bottom w:val="none" w:sz="0" w:space="0" w:color="auto"/>
                <w:right w:val="none" w:sz="0" w:space="0" w:color="auto"/>
              </w:divBdr>
              <w:divsChild>
                <w:div w:id="16106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1375">
      <w:bodyDiv w:val="1"/>
      <w:marLeft w:val="0"/>
      <w:marRight w:val="0"/>
      <w:marTop w:val="0"/>
      <w:marBottom w:val="0"/>
      <w:divBdr>
        <w:top w:val="none" w:sz="0" w:space="0" w:color="auto"/>
        <w:left w:val="none" w:sz="0" w:space="0" w:color="auto"/>
        <w:bottom w:val="none" w:sz="0" w:space="0" w:color="auto"/>
        <w:right w:val="none" w:sz="0" w:space="0" w:color="auto"/>
      </w:divBdr>
      <w:divsChild>
        <w:div w:id="1194222044">
          <w:marLeft w:val="0"/>
          <w:marRight w:val="0"/>
          <w:marTop w:val="0"/>
          <w:marBottom w:val="0"/>
          <w:divBdr>
            <w:top w:val="none" w:sz="0" w:space="0" w:color="auto"/>
            <w:left w:val="none" w:sz="0" w:space="0" w:color="auto"/>
            <w:bottom w:val="none" w:sz="0" w:space="0" w:color="auto"/>
            <w:right w:val="none" w:sz="0" w:space="0" w:color="auto"/>
          </w:divBdr>
          <w:divsChild>
            <w:div w:id="1660231087">
              <w:marLeft w:val="0"/>
              <w:marRight w:val="0"/>
              <w:marTop w:val="0"/>
              <w:marBottom w:val="0"/>
              <w:divBdr>
                <w:top w:val="none" w:sz="0" w:space="0" w:color="auto"/>
                <w:left w:val="none" w:sz="0" w:space="0" w:color="auto"/>
                <w:bottom w:val="none" w:sz="0" w:space="0" w:color="auto"/>
                <w:right w:val="none" w:sz="0" w:space="0" w:color="auto"/>
              </w:divBdr>
              <w:divsChild>
                <w:div w:id="6318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3123">
      <w:bodyDiv w:val="1"/>
      <w:marLeft w:val="0"/>
      <w:marRight w:val="0"/>
      <w:marTop w:val="0"/>
      <w:marBottom w:val="0"/>
      <w:divBdr>
        <w:top w:val="none" w:sz="0" w:space="0" w:color="auto"/>
        <w:left w:val="none" w:sz="0" w:space="0" w:color="auto"/>
        <w:bottom w:val="none" w:sz="0" w:space="0" w:color="auto"/>
        <w:right w:val="none" w:sz="0" w:space="0" w:color="auto"/>
      </w:divBdr>
      <w:divsChild>
        <w:div w:id="71002205">
          <w:marLeft w:val="0"/>
          <w:marRight w:val="0"/>
          <w:marTop w:val="0"/>
          <w:marBottom w:val="0"/>
          <w:divBdr>
            <w:top w:val="none" w:sz="0" w:space="0" w:color="auto"/>
            <w:left w:val="none" w:sz="0" w:space="0" w:color="auto"/>
            <w:bottom w:val="none" w:sz="0" w:space="0" w:color="auto"/>
            <w:right w:val="none" w:sz="0" w:space="0" w:color="auto"/>
          </w:divBdr>
          <w:divsChild>
            <w:div w:id="1283220620">
              <w:marLeft w:val="0"/>
              <w:marRight w:val="0"/>
              <w:marTop w:val="0"/>
              <w:marBottom w:val="0"/>
              <w:divBdr>
                <w:top w:val="none" w:sz="0" w:space="0" w:color="auto"/>
                <w:left w:val="none" w:sz="0" w:space="0" w:color="auto"/>
                <w:bottom w:val="none" w:sz="0" w:space="0" w:color="auto"/>
                <w:right w:val="none" w:sz="0" w:space="0" w:color="auto"/>
              </w:divBdr>
              <w:divsChild>
                <w:div w:id="13653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726">
      <w:bodyDiv w:val="1"/>
      <w:marLeft w:val="0"/>
      <w:marRight w:val="0"/>
      <w:marTop w:val="0"/>
      <w:marBottom w:val="0"/>
      <w:divBdr>
        <w:top w:val="none" w:sz="0" w:space="0" w:color="auto"/>
        <w:left w:val="none" w:sz="0" w:space="0" w:color="auto"/>
        <w:bottom w:val="none" w:sz="0" w:space="0" w:color="auto"/>
        <w:right w:val="none" w:sz="0" w:space="0" w:color="auto"/>
      </w:divBdr>
      <w:divsChild>
        <w:div w:id="797338431">
          <w:marLeft w:val="0"/>
          <w:marRight w:val="0"/>
          <w:marTop w:val="0"/>
          <w:marBottom w:val="0"/>
          <w:divBdr>
            <w:top w:val="none" w:sz="0" w:space="0" w:color="auto"/>
            <w:left w:val="none" w:sz="0" w:space="0" w:color="auto"/>
            <w:bottom w:val="none" w:sz="0" w:space="0" w:color="auto"/>
            <w:right w:val="none" w:sz="0" w:space="0" w:color="auto"/>
          </w:divBdr>
          <w:divsChild>
            <w:div w:id="715593277">
              <w:marLeft w:val="0"/>
              <w:marRight w:val="0"/>
              <w:marTop w:val="0"/>
              <w:marBottom w:val="0"/>
              <w:divBdr>
                <w:top w:val="none" w:sz="0" w:space="0" w:color="auto"/>
                <w:left w:val="none" w:sz="0" w:space="0" w:color="auto"/>
                <w:bottom w:val="none" w:sz="0" w:space="0" w:color="auto"/>
                <w:right w:val="none" w:sz="0" w:space="0" w:color="auto"/>
              </w:divBdr>
              <w:divsChild>
                <w:div w:id="18077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3456">
      <w:bodyDiv w:val="1"/>
      <w:marLeft w:val="0"/>
      <w:marRight w:val="0"/>
      <w:marTop w:val="0"/>
      <w:marBottom w:val="0"/>
      <w:divBdr>
        <w:top w:val="none" w:sz="0" w:space="0" w:color="auto"/>
        <w:left w:val="none" w:sz="0" w:space="0" w:color="auto"/>
        <w:bottom w:val="none" w:sz="0" w:space="0" w:color="auto"/>
        <w:right w:val="none" w:sz="0" w:space="0" w:color="auto"/>
      </w:divBdr>
      <w:divsChild>
        <w:div w:id="854732729">
          <w:marLeft w:val="0"/>
          <w:marRight w:val="0"/>
          <w:marTop w:val="0"/>
          <w:marBottom w:val="0"/>
          <w:divBdr>
            <w:top w:val="none" w:sz="0" w:space="0" w:color="auto"/>
            <w:left w:val="none" w:sz="0" w:space="0" w:color="auto"/>
            <w:bottom w:val="none" w:sz="0" w:space="0" w:color="auto"/>
            <w:right w:val="none" w:sz="0" w:space="0" w:color="auto"/>
          </w:divBdr>
          <w:divsChild>
            <w:div w:id="1558971794">
              <w:marLeft w:val="0"/>
              <w:marRight w:val="0"/>
              <w:marTop w:val="0"/>
              <w:marBottom w:val="0"/>
              <w:divBdr>
                <w:top w:val="none" w:sz="0" w:space="0" w:color="auto"/>
                <w:left w:val="none" w:sz="0" w:space="0" w:color="auto"/>
                <w:bottom w:val="none" w:sz="0" w:space="0" w:color="auto"/>
                <w:right w:val="none" w:sz="0" w:space="0" w:color="auto"/>
              </w:divBdr>
              <w:divsChild>
                <w:div w:id="11996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88037">
      <w:bodyDiv w:val="1"/>
      <w:marLeft w:val="0"/>
      <w:marRight w:val="0"/>
      <w:marTop w:val="0"/>
      <w:marBottom w:val="0"/>
      <w:divBdr>
        <w:top w:val="none" w:sz="0" w:space="0" w:color="auto"/>
        <w:left w:val="none" w:sz="0" w:space="0" w:color="auto"/>
        <w:bottom w:val="none" w:sz="0" w:space="0" w:color="auto"/>
        <w:right w:val="none" w:sz="0" w:space="0" w:color="auto"/>
      </w:divBdr>
      <w:divsChild>
        <w:div w:id="1748501250">
          <w:marLeft w:val="0"/>
          <w:marRight w:val="0"/>
          <w:marTop w:val="0"/>
          <w:marBottom w:val="0"/>
          <w:divBdr>
            <w:top w:val="none" w:sz="0" w:space="0" w:color="auto"/>
            <w:left w:val="none" w:sz="0" w:space="0" w:color="auto"/>
            <w:bottom w:val="none" w:sz="0" w:space="0" w:color="auto"/>
            <w:right w:val="none" w:sz="0" w:space="0" w:color="auto"/>
          </w:divBdr>
          <w:divsChild>
            <w:div w:id="851068569">
              <w:marLeft w:val="0"/>
              <w:marRight w:val="0"/>
              <w:marTop w:val="0"/>
              <w:marBottom w:val="0"/>
              <w:divBdr>
                <w:top w:val="none" w:sz="0" w:space="0" w:color="auto"/>
                <w:left w:val="none" w:sz="0" w:space="0" w:color="auto"/>
                <w:bottom w:val="none" w:sz="0" w:space="0" w:color="auto"/>
                <w:right w:val="none" w:sz="0" w:space="0" w:color="auto"/>
              </w:divBdr>
              <w:divsChild>
                <w:div w:id="6522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5040">
      <w:bodyDiv w:val="1"/>
      <w:marLeft w:val="0"/>
      <w:marRight w:val="0"/>
      <w:marTop w:val="0"/>
      <w:marBottom w:val="0"/>
      <w:divBdr>
        <w:top w:val="none" w:sz="0" w:space="0" w:color="auto"/>
        <w:left w:val="none" w:sz="0" w:space="0" w:color="auto"/>
        <w:bottom w:val="none" w:sz="0" w:space="0" w:color="auto"/>
        <w:right w:val="none" w:sz="0" w:space="0" w:color="auto"/>
      </w:divBdr>
      <w:divsChild>
        <w:div w:id="426317468">
          <w:marLeft w:val="0"/>
          <w:marRight w:val="0"/>
          <w:marTop w:val="0"/>
          <w:marBottom w:val="0"/>
          <w:divBdr>
            <w:top w:val="none" w:sz="0" w:space="0" w:color="auto"/>
            <w:left w:val="none" w:sz="0" w:space="0" w:color="auto"/>
            <w:bottom w:val="none" w:sz="0" w:space="0" w:color="auto"/>
            <w:right w:val="none" w:sz="0" w:space="0" w:color="auto"/>
          </w:divBdr>
          <w:divsChild>
            <w:div w:id="1556744353">
              <w:marLeft w:val="0"/>
              <w:marRight w:val="0"/>
              <w:marTop w:val="0"/>
              <w:marBottom w:val="0"/>
              <w:divBdr>
                <w:top w:val="none" w:sz="0" w:space="0" w:color="auto"/>
                <w:left w:val="none" w:sz="0" w:space="0" w:color="auto"/>
                <w:bottom w:val="none" w:sz="0" w:space="0" w:color="auto"/>
                <w:right w:val="none" w:sz="0" w:space="0" w:color="auto"/>
              </w:divBdr>
              <w:divsChild>
                <w:div w:id="2109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8250">
      <w:bodyDiv w:val="1"/>
      <w:marLeft w:val="0"/>
      <w:marRight w:val="0"/>
      <w:marTop w:val="0"/>
      <w:marBottom w:val="0"/>
      <w:divBdr>
        <w:top w:val="none" w:sz="0" w:space="0" w:color="auto"/>
        <w:left w:val="none" w:sz="0" w:space="0" w:color="auto"/>
        <w:bottom w:val="none" w:sz="0" w:space="0" w:color="auto"/>
        <w:right w:val="none" w:sz="0" w:space="0" w:color="auto"/>
      </w:divBdr>
      <w:divsChild>
        <w:div w:id="762259285">
          <w:marLeft w:val="0"/>
          <w:marRight w:val="0"/>
          <w:marTop w:val="0"/>
          <w:marBottom w:val="0"/>
          <w:divBdr>
            <w:top w:val="none" w:sz="0" w:space="0" w:color="auto"/>
            <w:left w:val="none" w:sz="0" w:space="0" w:color="auto"/>
            <w:bottom w:val="none" w:sz="0" w:space="0" w:color="auto"/>
            <w:right w:val="none" w:sz="0" w:space="0" w:color="auto"/>
          </w:divBdr>
          <w:divsChild>
            <w:div w:id="1898976952">
              <w:marLeft w:val="0"/>
              <w:marRight w:val="0"/>
              <w:marTop w:val="0"/>
              <w:marBottom w:val="0"/>
              <w:divBdr>
                <w:top w:val="none" w:sz="0" w:space="0" w:color="auto"/>
                <w:left w:val="none" w:sz="0" w:space="0" w:color="auto"/>
                <w:bottom w:val="none" w:sz="0" w:space="0" w:color="auto"/>
                <w:right w:val="none" w:sz="0" w:space="0" w:color="auto"/>
              </w:divBdr>
              <w:divsChild>
                <w:div w:id="1245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788</Words>
  <Characters>4497</Characters>
  <Application>Microsoft Office Word</Application>
  <DocSecurity>0</DocSecurity>
  <Lines>37</Lines>
  <Paragraphs>10</Paragraphs>
  <ScaleCrop>false</ScaleCrop>
  <Company>Sky123.Org</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Thomas</cp:lastModifiedBy>
  <cp:revision>3</cp:revision>
  <dcterms:created xsi:type="dcterms:W3CDTF">2017-10-26T00:09:00Z</dcterms:created>
  <dcterms:modified xsi:type="dcterms:W3CDTF">2017-11-26T23:59:00Z</dcterms:modified>
</cp:coreProperties>
</file>